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65074A" w:rsidRPr="00BD1CC1" w14:paraId="43BBF3D8" w14:textId="77777777" w:rsidTr="008658EA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51863DC" w14:textId="77777777" w:rsidR="0065074A" w:rsidRPr="00EC47B6" w:rsidRDefault="0065074A" w:rsidP="008658EA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65074A" w:rsidRPr="00BD1CC1" w14:paraId="7027BBD9" w14:textId="77777777" w:rsidTr="008658EA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884D" w14:textId="2C207753" w:rsidR="0065074A" w:rsidRPr="00FF66BF" w:rsidRDefault="002B28E8" w:rsidP="008658EA">
            <w:pPr>
              <w:pStyle w:val="RefTableHeader"/>
            </w:pPr>
            <w:r w:rsidRPr="002B28E8">
              <w:t>4330-A</w:t>
            </w:r>
          </w:p>
        </w:tc>
      </w:tr>
    </w:tbl>
    <w:p w14:paraId="74FBA5B4" w14:textId="77777777" w:rsidR="0065074A" w:rsidRDefault="0065074A" w:rsidP="00A672B3">
      <w:pPr>
        <w:pStyle w:val="BodyText"/>
        <w:rPr>
          <w:b/>
          <w:bCs/>
          <w:sz w:val="16"/>
          <w:szCs w:val="16"/>
        </w:rPr>
        <w:sectPr w:rsidR="0065074A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0F7FB9A" w:rsidR="004B15BB" w:rsidRDefault="0000576A" w:rsidP="007E5C16">
      <w:pPr>
        <w:pStyle w:val="Heading1"/>
      </w:pPr>
      <w:r w:rsidRPr="0000576A">
        <w:t>Specialty Guideline Management</w:t>
      </w:r>
      <w:r w:rsidR="00277791" w:rsidRPr="00AA1E6A">
        <w:br/>
      </w:r>
      <w:r w:rsidRPr="0000576A">
        <w:t>Veklury</w:t>
      </w:r>
    </w:p>
    <w:p w14:paraId="0B50D548" w14:textId="647C07A7" w:rsidR="001A297C" w:rsidRPr="00160123" w:rsidRDefault="001A297C" w:rsidP="001A297C">
      <w:pPr>
        <w:pStyle w:val="Heading2"/>
      </w:pPr>
      <w:r w:rsidRPr="00160123">
        <w:t>Products Referenced by this Document</w:t>
      </w:r>
    </w:p>
    <w:p w14:paraId="3712CF0C" w14:textId="7EC96AD3" w:rsidR="001A297C" w:rsidRPr="00160123" w:rsidRDefault="001A297C" w:rsidP="001A297C">
      <w:pPr>
        <w:pStyle w:val="BodyText"/>
      </w:pPr>
      <w:r w:rsidRPr="00160123">
        <w:t xml:space="preserve">Drugs that are listed in the following table include both brand and generic and all dosage forms and strengths unless otherwise stated. </w:t>
      </w:r>
      <w:r w:rsidR="00892C5F">
        <w:t>Over-the-counter (</w:t>
      </w:r>
      <w:r w:rsidRPr="00160123">
        <w:t>OTC</w:t>
      </w:r>
      <w:r w:rsidR="00892C5F">
        <w:t>)</w:t>
      </w:r>
      <w:r w:rsidRPr="00160123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1A297C" w:rsidRPr="00160123" w14:paraId="10FEFA98" w14:textId="77777777" w:rsidTr="00503AD1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79DD96C" w14:textId="77777777" w:rsidR="001A297C" w:rsidRPr="00160123" w:rsidRDefault="001A297C" w:rsidP="00503AD1">
            <w:pPr>
              <w:pStyle w:val="TableHeader"/>
            </w:pPr>
            <w:r w:rsidRPr="00160123">
              <w:t>Brand Name</w:t>
            </w:r>
          </w:p>
        </w:tc>
        <w:tc>
          <w:tcPr>
            <w:tcW w:w="5595" w:type="dxa"/>
            <w:vAlign w:val="center"/>
          </w:tcPr>
          <w:p w14:paraId="2DAAEAD0" w14:textId="77777777" w:rsidR="001A297C" w:rsidRPr="00160123" w:rsidRDefault="001A297C" w:rsidP="00503AD1">
            <w:pPr>
              <w:pStyle w:val="TableHeader"/>
            </w:pPr>
            <w:r w:rsidRPr="00160123">
              <w:t>Generic Name</w:t>
            </w:r>
          </w:p>
        </w:tc>
      </w:tr>
      <w:tr w:rsidR="001A297C" w:rsidRPr="00160123" w14:paraId="22DC45F1" w14:textId="77777777" w:rsidTr="00503AD1">
        <w:trPr>
          <w:cantSplit/>
        </w:trPr>
        <w:tc>
          <w:tcPr>
            <w:tcW w:w="5265" w:type="dxa"/>
          </w:tcPr>
          <w:p w14:paraId="20E04235" w14:textId="072D86F4" w:rsidR="001A297C" w:rsidRPr="00160123" w:rsidRDefault="001A297C" w:rsidP="00503AD1">
            <w:pPr>
              <w:pStyle w:val="TableDataUnpadded"/>
            </w:pPr>
            <w:r w:rsidRPr="001A297C">
              <w:t>Veklury</w:t>
            </w:r>
          </w:p>
        </w:tc>
        <w:tc>
          <w:tcPr>
            <w:tcW w:w="5595" w:type="dxa"/>
          </w:tcPr>
          <w:p w14:paraId="5658AC71" w14:textId="77BCD94E" w:rsidR="001A297C" w:rsidRPr="00160123" w:rsidRDefault="001A297C" w:rsidP="00503AD1">
            <w:pPr>
              <w:pStyle w:val="TableDataUnpadded"/>
            </w:pPr>
            <w:r w:rsidRPr="001A297C">
              <w:t>remdesivir</w:t>
            </w:r>
          </w:p>
        </w:tc>
      </w:tr>
    </w:tbl>
    <w:p w14:paraId="14CE6108" w14:textId="78556F1D" w:rsidR="00FC1AAD" w:rsidRDefault="00ED052F" w:rsidP="00ED052F">
      <w:pPr>
        <w:pStyle w:val="Heading2"/>
      </w:pPr>
      <w:r>
        <w:t>Indications</w:t>
      </w:r>
    </w:p>
    <w:p w14:paraId="40FB9999" w14:textId="0E2D4E35" w:rsidR="0000576A" w:rsidRPr="0000576A" w:rsidRDefault="0000576A" w:rsidP="0000576A">
      <w:pPr>
        <w:pStyle w:val="BodyText"/>
      </w:pPr>
      <w:r w:rsidRPr="0000576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D017A77" w:rsidR="00ED052F" w:rsidRPr="00BD1CC1" w:rsidRDefault="00ED052F" w:rsidP="00ED052F">
      <w:pPr>
        <w:pStyle w:val="Heading3"/>
        <w:keepNext w:val="0"/>
      </w:pPr>
      <w:r w:rsidRPr="00BD1CC1">
        <w:t>FDA-</w:t>
      </w:r>
      <w:r w:rsidR="009873CC">
        <w:t>a</w:t>
      </w:r>
      <w:r w:rsidR="009873CC" w:rsidRPr="00BD1CC1">
        <w:t xml:space="preserve">pproved </w:t>
      </w:r>
      <w:r w:rsidRPr="00BD1CC1">
        <w:t>Indications</w:t>
      </w:r>
    </w:p>
    <w:p w14:paraId="3B034FA8" w14:textId="0D93FEF0" w:rsidR="0000576A" w:rsidRDefault="0000576A" w:rsidP="0000576A">
      <w:pPr>
        <w:pStyle w:val="BodyText"/>
      </w:pPr>
      <w:r>
        <w:t>Veklury is indicated for the treatment of coronavirus disease 2019 (COVID-19) in adults and pediatric patients (birth to less than 18 years of age weighing at least 1.5 kg) who are:</w:t>
      </w:r>
    </w:p>
    <w:p w14:paraId="0913BDC5" w14:textId="01A80486" w:rsidR="0000576A" w:rsidRPr="001A297C" w:rsidRDefault="0000576A" w:rsidP="001A297C">
      <w:pPr>
        <w:pStyle w:val="ListParagraph"/>
        <w:numPr>
          <w:ilvl w:val="0"/>
          <w:numId w:val="31"/>
        </w:numPr>
      </w:pPr>
      <w:r w:rsidRPr="001A297C">
        <w:t>Hospitalized, or</w:t>
      </w:r>
    </w:p>
    <w:p w14:paraId="7539A246" w14:textId="2717A161" w:rsidR="0000576A" w:rsidRPr="001A297C" w:rsidRDefault="0000576A" w:rsidP="0057453E">
      <w:pPr>
        <w:pStyle w:val="ListParagraph"/>
        <w:numPr>
          <w:ilvl w:val="0"/>
          <w:numId w:val="31"/>
        </w:numPr>
        <w:spacing w:after="120"/>
      </w:pPr>
      <w:r w:rsidRPr="001A297C">
        <w:t>Not hospitalized and have mild-to-moderate COVID-19, and are at high risk for progression to severe COVID-19, including hospitalization or death.</w:t>
      </w:r>
    </w:p>
    <w:p w14:paraId="654385F1" w14:textId="4FCF65FE" w:rsidR="0000576A" w:rsidRDefault="0000576A" w:rsidP="001A297C">
      <w:pPr>
        <w:pStyle w:val="BodyText"/>
      </w:pPr>
      <w:r>
        <w:t xml:space="preserve">Note: the criteria outlined in this policy is only applicable to coverage in the outpatient setting. Hospitalized </w:t>
      </w:r>
      <w:r w:rsidRPr="001A297C">
        <w:t>patients</w:t>
      </w:r>
      <w:r>
        <w:t xml:space="preserve"> receiving Veklury for the treatment of COVID-19 will be managed according to the member’s inpatient benefit.</w:t>
      </w:r>
    </w:p>
    <w:p w14:paraId="7459D6DA" w14:textId="7EE44413" w:rsidR="00401820" w:rsidRPr="00BD1CC1" w:rsidRDefault="0000576A" w:rsidP="00AA1E6A">
      <w:pPr>
        <w:pStyle w:val="BodyText"/>
      </w:pPr>
      <w:r>
        <w:t>All other indications are considered experimental/investigational and not medically necessary.</w:t>
      </w:r>
    </w:p>
    <w:p w14:paraId="36381B6D" w14:textId="3B8D230A" w:rsidR="000D2496" w:rsidRPr="00BD1CC1" w:rsidRDefault="000D2496" w:rsidP="000D2496">
      <w:pPr>
        <w:pStyle w:val="Heading2"/>
      </w:pPr>
      <w:r w:rsidRPr="00BD1CC1">
        <w:lastRenderedPageBreak/>
        <w:t>Documentation</w:t>
      </w:r>
    </w:p>
    <w:p w14:paraId="2180ED6E" w14:textId="675E6554" w:rsidR="000D2496" w:rsidRDefault="0000576A" w:rsidP="000D2496">
      <w:pPr>
        <w:pStyle w:val="BodyText"/>
      </w:pPr>
      <w:r w:rsidRPr="0000576A">
        <w:t>Submission of the following information is necessary to initiate the prior authorization review: medical records documenting positive COVID-19 infection, hepatic laboratory testing, and prothrombin time</w:t>
      </w:r>
      <w:r>
        <w:t>.</w:t>
      </w:r>
    </w:p>
    <w:p w14:paraId="50A38FBA" w14:textId="5FCF707E" w:rsidR="00FE0C63" w:rsidRPr="001A297C" w:rsidRDefault="00685107" w:rsidP="00DD6330">
      <w:pPr>
        <w:pStyle w:val="Heading2"/>
        <w:tabs>
          <w:tab w:val="left" w:pos="9405"/>
        </w:tabs>
      </w:pPr>
      <w:r>
        <w:t>Coverage Criteria</w:t>
      </w:r>
    </w:p>
    <w:p w14:paraId="4CF5B050" w14:textId="3E339C57" w:rsidR="002B28E8" w:rsidRDefault="002B28E8" w:rsidP="001A297C">
      <w:pPr>
        <w:pStyle w:val="Heading3"/>
      </w:pPr>
      <w:r>
        <w:t xml:space="preserve">Treatment </w:t>
      </w:r>
      <w:r w:rsidR="001A297C">
        <w:t xml:space="preserve">of </w:t>
      </w:r>
      <w:r>
        <w:t>COVID</w:t>
      </w:r>
      <w:r w:rsidR="001A297C">
        <w:t>-19 in Non-Hospitalized, High Risk Patients</w:t>
      </w:r>
    </w:p>
    <w:p w14:paraId="0879D777" w14:textId="77777777" w:rsidR="002B28E8" w:rsidRPr="001A297C" w:rsidRDefault="002B28E8" w:rsidP="001A297C">
      <w:pPr>
        <w:pStyle w:val="BodyText"/>
      </w:pPr>
      <w:r w:rsidRPr="001A297C">
        <w:t>Authorization of 30 days may be granted for the treatment of COVID-19 in non-hospitalized, high risk patients when all of the following criteria are met:</w:t>
      </w:r>
    </w:p>
    <w:p w14:paraId="454BA102" w14:textId="32FB454D" w:rsidR="002B28E8" w:rsidRPr="001A297C" w:rsidRDefault="002B28E8" w:rsidP="001A297C">
      <w:pPr>
        <w:pStyle w:val="ListParagraph"/>
        <w:numPr>
          <w:ilvl w:val="0"/>
          <w:numId w:val="32"/>
        </w:numPr>
      </w:pPr>
      <w:r w:rsidRPr="001A297C">
        <w:t>Member has a confirmed active infection with COVID-19.</w:t>
      </w:r>
    </w:p>
    <w:p w14:paraId="016CAD16" w14:textId="1727BD24" w:rsidR="002B28E8" w:rsidRPr="001A297C" w:rsidRDefault="002B28E8" w:rsidP="001A297C">
      <w:pPr>
        <w:pStyle w:val="ListParagraph"/>
        <w:numPr>
          <w:ilvl w:val="0"/>
          <w:numId w:val="32"/>
        </w:numPr>
      </w:pPr>
      <w:r w:rsidRPr="001A297C">
        <w:t>Member weighs at least 1.5 kg.</w:t>
      </w:r>
    </w:p>
    <w:p w14:paraId="4138D2EC" w14:textId="2DF9120B" w:rsidR="002B28E8" w:rsidRPr="001A297C" w:rsidRDefault="002B28E8" w:rsidP="001A297C">
      <w:pPr>
        <w:pStyle w:val="ListParagraph"/>
        <w:numPr>
          <w:ilvl w:val="0"/>
          <w:numId w:val="32"/>
        </w:numPr>
      </w:pPr>
      <w:r w:rsidRPr="001A297C">
        <w:t>Member has at least one ongoing symptom consistent with COVID-19 within 7 days before treatment (e.g., fever, cough, fatigue, shortness of breath, sore throat, headache, myalgia/arthralgia).</w:t>
      </w:r>
    </w:p>
    <w:p w14:paraId="3C008ED6" w14:textId="25DDF033" w:rsidR="002B28E8" w:rsidRPr="001A297C" w:rsidRDefault="002B28E8" w:rsidP="001A297C">
      <w:pPr>
        <w:pStyle w:val="ListParagraph"/>
        <w:numPr>
          <w:ilvl w:val="0"/>
          <w:numId w:val="32"/>
        </w:numPr>
      </w:pPr>
      <w:r w:rsidRPr="001A297C">
        <w:t>Member is non-hospitalized and is at high risk for progression to severe COVID-19 (e.g., chronic lung diseases, diabetes mellitus, obesity (BMI &gt; 30), heart conditions), including hospitalization or death.</w:t>
      </w:r>
    </w:p>
    <w:p w14:paraId="7C748AA5" w14:textId="08B7DD14" w:rsidR="002B28E8" w:rsidRPr="001A297C" w:rsidRDefault="002B28E8" w:rsidP="001A297C">
      <w:pPr>
        <w:pStyle w:val="ListParagraph"/>
        <w:numPr>
          <w:ilvl w:val="0"/>
          <w:numId w:val="32"/>
        </w:numPr>
      </w:pPr>
      <w:r w:rsidRPr="001A297C">
        <w:t>Hepatic function and prothrombin time have been assessed prior to starting the requested medication and will be monitored while receiving therapy as clinically appropriate.</w:t>
      </w:r>
    </w:p>
    <w:p w14:paraId="1DF7D328" w14:textId="54A5C209" w:rsidR="002B28E8" w:rsidRPr="001A297C" w:rsidRDefault="002B28E8" w:rsidP="001A297C">
      <w:pPr>
        <w:pStyle w:val="ListParagraph"/>
        <w:numPr>
          <w:ilvl w:val="0"/>
          <w:numId w:val="32"/>
        </w:numPr>
      </w:pPr>
      <w:r w:rsidRPr="001A297C">
        <w:t>Member will not receive a total duration of therapy greater than 3 days for an individual infection.</w:t>
      </w:r>
    </w:p>
    <w:p w14:paraId="476C58B5" w14:textId="303831E5" w:rsidR="002B28E8" w:rsidRPr="001A297C" w:rsidRDefault="002B28E8" w:rsidP="001A297C">
      <w:pPr>
        <w:pStyle w:val="ListParagraph"/>
        <w:numPr>
          <w:ilvl w:val="0"/>
          <w:numId w:val="32"/>
        </w:numPr>
      </w:pPr>
      <w:r w:rsidRPr="001A297C">
        <w:t>The requested medication will not be administered in combination with chloroquine or hydroxychloroquine.</w:t>
      </w:r>
    </w:p>
    <w:p w14:paraId="02934F41" w14:textId="77777777" w:rsidR="00FD000B" w:rsidRPr="001A297C" w:rsidRDefault="002B28E8" w:rsidP="001A297C">
      <w:pPr>
        <w:pStyle w:val="ListParagraph"/>
        <w:numPr>
          <w:ilvl w:val="0"/>
          <w:numId w:val="32"/>
        </w:numPr>
      </w:pPr>
      <w:r w:rsidRPr="001A297C">
        <w:t>The requested medication will be administered in a setting where severe hypersensitivity reactions, such as anaphylaxis, can be managed.</w:t>
      </w:r>
    </w:p>
    <w:p w14:paraId="0A275F8B" w14:textId="6D5AF628" w:rsidR="000E0438" w:rsidRPr="008D1B34" w:rsidRDefault="000E0438" w:rsidP="000E0438">
      <w:pPr>
        <w:pStyle w:val="Heading2"/>
      </w:pPr>
      <w:r w:rsidRPr="008D1B34">
        <w:t>References</w:t>
      </w:r>
    </w:p>
    <w:p w14:paraId="6394093E" w14:textId="7D369D03" w:rsidR="002B28E8" w:rsidRPr="001A297C" w:rsidRDefault="002B28E8" w:rsidP="001A297C">
      <w:pPr>
        <w:pStyle w:val="ReferenceOrdered"/>
      </w:pPr>
      <w:r w:rsidRPr="001A297C">
        <w:t xml:space="preserve">Veklury [package insert]. Foster City, CA: Gilead Sciences, Inc.; </w:t>
      </w:r>
      <w:r w:rsidR="002C1F05">
        <w:t>June</w:t>
      </w:r>
      <w:r w:rsidRPr="001A297C">
        <w:t xml:space="preserve"> 2024.</w:t>
      </w:r>
    </w:p>
    <w:p w14:paraId="413386BC" w14:textId="053E812A" w:rsidR="002B28E8" w:rsidRPr="001A297C" w:rsidRDefault="002B28E8" w:rsidP="001A297C">
      <w:pPr>
        <w:pStyle w:val="ReferenceOrdered"/>
      </w:pPr>
      <w:r w:rsidRPr="001A297C">
        <w:t>Gottlieb RL, Vaca CE, Paredes R, et al. Early Remdesivir to Prevent Progression to Severe Covid-19 in Outpatients. N Engl J Med. 2022;386(4):305-315.</w:t>
      </w:r>
    </w:p>
    <w:p w14:paraId="62AEB04C" w14:textId="6172CAF1" w:rsidR="000E0438" w:rsidRPr="001A297C" w:rsidRDefault="002B28E8" w:rsidP="001A297C">
      <w:pPr>
        <w:pStyle w:val="ReferenceOrdered"/>
      </w:pPr>
      <w:r w:rsidRPr="001A297C">
        <w:t xml:space="preserve">NIH. The COVID-19 Treatment Guidelines Panel’s Statement on Therapies for High-Risk, Nonhospitalized Patients With Mild to Moderate COVID-19. https://www.covid19treatmentguidelines.nih.gov/therapies/statement-on-therapies-for-high-risk-nonhospitalized-patients/ Accessed: </w:t>
      </w:r>
      <w:r w:rsidR="002C1F05">
        <w:t>August 29, 2024</w:t>
      </w:r>
      <w:r w:rsidRPr="001A297C">
        <w:t>.</w:t>
      </w:r>
    </w:p>
    <w:sectPr w:rsidR="000E0438" w:rsidRPr="001A297C" w:rsidSect="00DE7702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5456D" w14:textId="77777777" w:rsidR="00A342E4" w:rsidRDefault="00A342E4">
      <w:r>
        <w:separator/>
      </w:r>
    </w:p>
  </w:endnote>
  <w:endnote w:type="continuationSeparator" w:id="0">
    <w:p w14:paraId="6050DD76" w14:textId="77777777" w:rsidR="00A342E4" w:rsidRDefault="00A342E4">
      <w:r>
        <w:continuationSeparator/>
      </w:r>
    </w:p>
  </w:endnote>
  <w:endnote w:type="continuationNotice" w:id="1">
    <w:p w14:paraId="365778EC" w14:textId="77777777" w:rsidR="00A342E4" w:rsidRDefault="00A34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88AA2D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63D42" w:rsidRPr="00663D42">
      <w:rPr>
        <w:rFonts w:cs="Arial"/>
        <w:noProof/>
        <w:sz w:val="16"/>
        <w:szCs w:val="16"/>
      </w:rPr>
      <w:t>Veklury</w:t>
    </w:r>
    <w:r w:rsidR="00663D42">
      <w:rPr>
        <w:rFonts w:cs="Arial"/>
        <w:noProof/>
        <w:snapToGrid w:val="0"/>
        <w:color w:val="000000"/>
        <w:sz w:val="16"/>
        <w:szCs w:val="16"/>
      </w:rPr>
      <w:t xml:space="preserve"> SGM 4330-A</w:t>
    </w:r>
    <w:r w:rsidR="00663D42" w:rsidRPr="00663D42">
      <w:rPr>
        <w:rFonts w:cs="Arial"/>
        <w:noProof/>
        <w:sz w:val="16"/>
        <w:szCs w:val="16"/>
      </w:rPr>
      <w:t xml:space="preserve"> P2024b</w:t>
    </w:r>
    <w:r w:rsidR="00663D42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9EDE686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170668D" w:rsidR="00F75C81" w:rsidRPr="00AA1E6A" w:rsidRDefault="00C36B72" w:rsidP="007F307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66D83DB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63D42" w:rsidRPr="00663D42">
      <w:rPr>
        <w:rFonts w:cs="Arial"/>
        <w:noProof/>
        <w:sz w:val="16"/>
        <w:szCs w:val="16"/>
      </w:rPr>
      <w:t>Veklury</w:t>
    </w:r>
    <w:r w:rsidR="00663D42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663D42" w:rsidRPr="00663D42">
      <w:rPr>
        <w:rFonts w:cs="Arial"/>
        <w:noProof/>
        <w:sz w:val="16"/>
        <w:szCs w:val="16"/>
      </w:rPr>
      <w:t xml:space="preserve"> </w:t>
    </w:r>
    <w:r w:rsidR="00663D42">
      <w:rPr>
        <w:rFonts w:cs="Arial"/>
        <w:noProof/>
        <w:snapToGrid w:val="0"/>
        <w:color w:val="000000"/>
        <w:sz w:val="16"/>
        <w:szCs w:val="16"/>
      </w:rPr>
      <w:t>4330-A</w:t>
    </w:r>
    <w:r w:rsidR="00663D42" w:rsidRPr="00663D42">
      <w:rPr>
        <w:rFonts w:cs="Arial"/>
        <w:noProof/>
        <w:sz w:val="16"/>
        <w:szCs w:val="16"/>
      </w:rPr>
      <w:t xml:space="preserve"> P2024b</w:t>
    </w:r>
    <w:r w:rsidR="00663D42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6B17A59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2E44FE6" w:rsidR="00ED04EC" w:rsidRPr="00F50D98" w:rsidRDefault="00F50D98" w:rsidP="007F307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9B732" w14:textId="77777777" w:rsidR="00A342E4" w:rsidRDefault="00A342E4">
      <w:r>
        <w:separator/>
      </w:r>
    </w:p>
  </w:footnote>
  <w:footnote w:type="continuationSeparator" w:id="0">
    <w:p w14:paraId="31AE2F21" w14:textId="77777777" w:rsidR="00A342E4" w:rsidRDefault="00A342E4">
      <w:r>
        <w:continuationSeparator/>
      </w:r>
    </w:p>
  </w:footnote>
  <w:footnote w:type="continuationNotice" w:id="1">
    <w:p w14:paraId="3EF0AB8F" w14:textId="77777777" w:rsidR="00A342E4" w:rsidRDefault="00A34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2B615A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2C3D46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2C3D46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2B615A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47C345D" w:rsidR="00ED04EC" w:rsidRPr="002C3D46" w:rsidRDefault="002B615A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4330-A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C5C75"/>
    <w:multiLevelType w:val="hybridMultilevel"/>
    <w:tmpl w:val="8EEC7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0F3C40"/>
    <w:multiLevelType w:val="hybridMultilevel"/>
    <w:tmpl w:val="3072D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C4CAF"/>
    <w:multiLevelType w:val="hybridMultilevel"/>
    <w:tmpl w:val="7C32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E7F06"/>
    <w:multiLevelType w:val="hybridMultilevel"/>
    <w:tmpl w:val="C07CD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1201B"/>
    <w:multiLevelType w:val="hybridMultilevel"/>
    <w:tmpl w:val="E46A6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47000"/>
    <w:multiLevelType w:val="hybridMultilevel"/>
    <w:tmpl w:val="A5A095B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67BD8"/>
    <w:multiLevelType w:val="hybridMultilevel"/>
    <w:tmpl w:val="DF541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7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30"/>
  </w:num>
  <w:num w:numId="18" w16cid:durableId="299724409">
    <w:abstractNumId w:val="23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1"/>
  </w:num>
  <w:num w:numId="22" w16cid:durableId="1472481103">
    <w:abstractNumId w:val="26"/>
  </w:num>
  <w:num w:numId="23" w16cid:durableId="1997420403">
    <w:abstractNumId w:val="28"/>
  </w:num>
  <w:num w:numId="24" w16cid:durableId="33312838">
    <w:abstractNumId w:val="24"/>
  </w:num>
  <w:num w:numId="25" w16cid:durableId="507404939">
    <w:abstractNumId w:val="18"/>
  </w:num>
  <w:num w:numId="26" w16cid:durableId="2111389124">
    <w:abstractNumId w:val="20"/>
  </w:num>
  <w:num w:numId="27" w16cid:durableId="1396469">
    <w:abstractNumId w:val="22"/>
  </w:num>
  <w:num w:numId="28" w16cid:durableId="430659585">
    <w:abstractNumId w:val="17"/>
  </w:num>
  <w:num w:numId="29" w16cid:durableId="1997490352">
    <w:abstractNumId w:val="25"/>
  </w:num>
  <w:num w:numId="30" w16cid:durableId="1527795029">
    <w:abstractNumId w:val="29"/>
  </w:num>
  <w:num w:numId="31" w16cid:durableId="1232421372">
    <w:abstractNumId w:val="13"/>
  </w:num>
  <w:num w:numId="32" w16cid:durableId="116140914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76A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6414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0738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28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3E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6A27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2F00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724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7C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1E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36F6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8E8"/>
    <w:rsid w:val="002B306F"/>
    <w:rsid w:val="002B3172"/>
    <w:rsid w:val="002B4271"/>
    <w:rsid w:val="002B615A"/>
    <w:rsid w:val="002B6A94"/>
    <w:rsid w:val="002B751E"/>
    <w:rsid w:val="002B7A9E"/>
    <w:rsid w:val="002B7F07"/>
    <w:rsid w:val="002B7FDB"/>
    <w:rsid w:val="002C0682"/>
    <w:rsid w:val="002C1498"/>
    <w:rsid w:val="002C1864"/>
    <w:rsid w:val="002C1F05"/>
    <w:rsid w:val="002C20ED"/>
    <w:rsid w:val="002C3D46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5CBF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6CAF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360F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61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0AA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C18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53E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74A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D42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843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AE8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92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39F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074"/>
    <w:rsid w:val="007F349F"/>
    <w:rsid w:val="007F475E"/>
    <w:rsid w:val="007F5BA5"/>
    <w:rsid w:val="007F6891"/>
    <w:rsid w:val="007F6BB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6B83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2C5F"/>
    <w:rsid w:val="008943CF"/>
    <w:rsid w:val="008945D6"/>
    <w:rsid w:val="00895C0F"/>
    <w:rsid w:val="00895FE5"/>
    <w:rsid w:val="00896B59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06C0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873CC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23CA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4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734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8E1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1D6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406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4EEB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2A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04C"/>
    <w:rsid w:val="00D5579C"/>
    <w:rsid w:val="00D56213"/>
    <w:rsid w:val="00D566EA"/>
    <w:rsid w:val="00D56FC3"/>
    <w:rsid w:val="00D578A8"/>
    <w:rsid w:val="00D60D55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97F62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2B3C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33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E7702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730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0324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B2B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4BE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6B82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65074A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65074A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65074A"/>
    <w:rPr>
      <w:rFonts w:ascii="CVS Health Sans" w:hAnsi="CVS Health Sans"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65074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5BC29BA1-321B-4880-B991-034B0F4C25D7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Veklury SGM 4330-A P2024b_R</dc:title>
  <dc:subject/>
  <dc:creator>CVS Caremark</dc:creator>
  <cp:keywords/>
  <cp:lastModifiedBy>Huerta, Linda M</cp:lastModifiedBy>
  <cp:revision>4</cp:revision>
  <cp:lastPrinted>2018-01-09T05:01:00Z</cp:lastPrinted>
  <dcterms:created xsi:type="dcterms:W3CDTF">2025-01-09T18:36:00Z</dcterms:created>
  <dcterms:modified xsi:type="dcterms:W3CDTF">2025-01-15T21:34:00Z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1159200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TemplateUrl">
    <vt:lpwstr/>
  </property>
</Properties>
</file>